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D2A1A" w14:textId="77777777" w:rsidR="00D73D93" w:rsidRPr="00D73D93" w:rsidRDefault="00D73D93" w:rsidP="00D73D93">
      <w:pPr>
        <w:pStyle w:val="Default"/>
        <w:jc w:val="center"/>
        <w:rPr>
          <w:b/>
          <w:bCs/>
          <w:sz w:val="23"/>
          <w:szCs w:val="23"/>
          <w:u w:val="single"/>
        </w:rPr>
      </w:pPr>
      <w:bookmarkStart w:id="0" w:name="_GoBack"/>
      <w:bookmarkEnd w:id="0"/>
      <w:r w:rsidRPr="00D73D93">
        <w:rPr>
          <w:b/>
          <w:bCs/>
          <w:sz w:val="23"/>
          <w:szCs w:val="23"/>
          <w:u w:val="single"/>
        </w:rPr>
        <w:t>DECLARATION of INCOME STATEMENT (DIS) GUIDANCE</w:t>
      </w:r>
    </w:p>
    <w:p w14:paraId="3A74EEB4" w14:textId="77777777" w:rsidR="00D73D93" w:rsidRDefault="00D73D93" w:rsidP="00D73D93">
      <w:pPr>
        <w:pStyle w:val="Default"/>
        <w:rPr>
          <w:sz w:val="23"/>
          <w:szCs w:val="23"/>
        </w:rPr>
      </w:pPr>
    </w:p>
    <w:p w14:paraId="7A48EE3A" w14:textId="03FD6C58" w:rsidR="00D73D93" w:rsidRDefault="00D73D93" w:rsidP="00D73D93">
      <w:pPr>
        <w:pStyle w:val="Default"/>
        <w:rPr>
          <w:sz w:val="23"/>
          <w:szCs w:val="23"/>
        </w:rPr>
      </w:pPr>
      <w:r>
        <w:rPr>
          <w:b/>
          <w:bCs/>
          <w:sz w:val="23"/>
          <w:szCs w:val="23"/>
        </w:rPr>
        <w:t>For ESG</w:t>
      </w:r>
      <w:r w:rsidR="001A5FB9">
        <w:rPr>
          <w:b/>
          <w:bCs/>
          <w:sz w:val="23"/>
          <w:szCs w:val="23"/>
        </w:rPr>
        <w:t>, HHSP and EH</w:t>
      </w:r>
      <w:r>
        <w:rPr>
          <w:b/>
          <w:bCs/>
          <w:sz w:val="23"/>
          <w:szCs w:val="23"/>
        </w:rPr>
        <w:t xml:space="preserve"> </w:t>
      </w:r>
      <w:r w:rsidR="00E4013F">
        <w:rPr>
          <w:b/>
          <w:bCs/>
          <w:sz w:val="23"/>
          <w:szCs w:val="23"/>
        </w:rPr>
        <w:t xml:space="preserve">Fund </w:t>
      </w:r>
      <w:r>
        <w:rPr>
          <w:b/>
          <w:bCs/>
          <w:sz w:val="23"/>
          <w:szCs w:val="23"/>
        </w:rPr>
        <w:t xml:space="preserve">Activities, all Subrecipients shall base annualized eligibility determinations on the following criteria: </w:t>
      </w:r>
    </w:p>
    <w:p w14:paraId="5AE82420" w14:textId="7FB8C224" w:rsidR="00D73D93" w:rsidRDefault="00D73D93" w:rsidP="00D73D93">
      <w:pPr>
        <w:pStyle w:val="Default"/>
        <w:numPr>
          <w:ilvl w:val="0"/>
          <w:numId w:val="1"/>
        </w:numPr>
        <w:spacing w:after="47"/>
        <w:rPr>
          <w:sz w:val="23"/>
          <w:szCs w:val="23"/>
        </w:rPr>
      </w:pPr>
      <w:r>
        <w:rPr>
          <w:sz w:val="23"/>
          <w:szCs w:val="23"/>
        </w:rPr>
        <w:t>Household income must be collected from the 30 day period prior to the date of application for assistance.</w:t>
      </w:r>
    </w:p>
    <w:p w14:paraId="16BEBF9C" w14:textId="2C320B71" w:rsidR="00D73D93" w:rsidRDefault="00D73D93" w:rsidP="00D73D93">
      <w:pPr>
        <w:pStyle w:val="Default"/>
        <w:numPr>
          <w:ilvl w:val="0"/>
          <w:numId w:val="1"/>
        </w:numPr>
        <w:spacing w:after="47"/>
        <w:rPr>
          <w:sz w:val="23"/>
          <w:szCs w:val="23"/>
        </w:rPr>
      </w:pPr>
      <w:r>
        <w:rPr>
          <w:sz w:val="23"/>
          <w:szCs w:val="23"/>
        </w:rPr>
        <w:t xml:space="preserve">Documentation of income must be collected from all sources for all </w:t>
      </w:r>
      <w:r w:rsidR="00365936">
        <w:rPr>
          <w:sz w:val="23"/>
          <w:szCs w:val="23"/>
        </w:rPr>
        <w:t xml:space="preserve">applicable </w:t>
      </w:r>
      <w:r>
        <w:rPr>
          <w:sz w:val="23"/>
          <w:szCs w:val="23"/>
        </w:rPr>
        <w:t>household members</w:t>
      </w:r>
      <w:r w:rsidR="00365936">
        <w:rPr>
          <w:sz w:val="23"/>
          <w:szCs w:val="23"/>
        </w:rPr>
        <w:t xml:space="preserve"> </w:t>
      </w:r>
      <w:r>
        <w:rPr>
          <w:sz w:val="23"/>
          <w:szCs w:val="23"/>
        </w:rPr>
        <w:t>for the entire 30 day period prior to the date of application.</w:t>
      </w:r>
    </w:p>
    <w:p w14:paraId="22942938" w14:textId="3703F693" w:rsidR="009E1776" w:rsidRDefault="00E60ED5" w:rsidP="00922906">
      <w:pPr>
        <w:pStyle w:val="Default"/>
        <w:numPr>
          <w:ilvl w:val="0"/>
          <w:numId w:val="1"/>
        </w:numPr>
        <w:spacing w:after="47"/>
        <w:rPr>
          <w:sz w:val="23"/>
          <w:szCs w:val="23"/>
        </w:rPr>
      </w:pPr>
      <w:r>
        <w:rPr>
          <w:sz w:val="23"/>
          <w:szCs w:val="23"/>
        </w:rPr>
        <w:t xml:space="preserve">For ESG, </w:t>
      </w:r>
      <w:r w:rsidR="00DA4250">
        <w:rPr>
          <w:sz w:val="23"/>
          <w:szCs w:val="23"/>
        </w:rPr>
        <w:t>i</w:t>
      </w:r>
      <w:r>
        <w:rPr>
          <w:sz w:val="23"/>
          <w:szCs w:val="23"/>
        </w:rPr>
        <w:t xml:space="preserve">ncome determination should be done in accordance with HUD Handbook 4350 Chapter 5, which </w:t>
      </w:r>
      <w:r w:rsidRPr="00E60ED5">
        <w:rPr>
          <w:sz w:val="23"/>
          <w:szCs w:val="23"/>
        </w:rPr>
        <w:t>provides requirements and methodology for calculati</w:t>
      </w:r>
      <w:r>
        <w:rPr>
          <w:sz w:val="23"/>
          <w:szCs w:val="23"/>
        </w:rPr>
        <w:t xml:space="preserve">on of income under 24 CFR </w:t>
      </w:r>
      <w:r w:rsidR="009E1776">
        <w:rPr>
          <w:sz w:val="23"/>
          <w:szCs w:val="23"/>
        </w:rPr>
        <w:t>§</w:t>
      </w:r>
      <w:r>
        <w:rPr>
          <w:sz w:val="23"/>
          <w:szCs w:val="23"/>
        </w:rPr>
        <w:t>5.609.</w:t>
      </w:r>
      <w:r w:rsidR="00922906">
        <w:rPr>
          <w:sz w:val="23"/>
          <w:szCs w:val="23"/>
        </w:rPr>
        <w:t xml:space="preserve"> </w:t>
      </w:r>
    </w:p>
    <w:p w14:paraId="2EC9914D" w14:textId="01C94CCE" w:rsidR="00E60ED5" w:rsidRDefault="00922906" w:rsidP="00922906">
      <w:pPr>
        <w:pStyle w:val="Default"/>
        <w:numPr>
          <w:ilvl w:val="0"/>
          <w:numId w:val="1"/>
        </w:numPr>
        <w:spacing w:after="47"/>
        <w:rPr>
          <w:sz w:val="23"/>
          <w:szCs w:val="23"/>
        </w:rPr>
      </w:pPr>
      <w:r>
        <w:rPr>
          <w:sz w:val="23"/>
          <w:szCs w:val="23"/>
        </w:rPr>
        <w:t>For HHSP, t</w:t>
      </w:r>
      <w:r w:rsidRPr="00922906">
        <w:rPr>
          <w:sz w:val="23"/>
          <w:szCs w:val="23"/>
        </w:rPr>
        <w:t>he Subrecipient shall establish income limits that do not exceed the moderate income level pursuant to Tex. Gov't Code §2306.152 in its written policies and procedures, and may adopt the income limit calculation method and procedures in HUD Handbook 4350 to satisfy this requirement.</w:t>
      </w:r>
    </w:p>
    <w:p w14:paraId="05D7F158" w14:textId="2E1742B1" w:rsidR="00D73D93" w:rsidRDefault="00D73D93" w:rsidP="001044A4">
      <w:pPr>
        <w:pStyle w:val="Default"/>
        <w:numPr>
          <w:ilvl w:val="0"/>
          <w:numId w:val="1"/>
        </w:numPr>
        <w:spacing w:after="47"/>
        <w:rPr>
          <w:sz w:val="23"/>
          <w:szCs w:val="23"/>
        </w:rPr>
      </w:pPr>
      <w:r>
        <w:rPr>
          <w:sz w:val="23"/>
          <w:szCs w:val="23"/>
        </w:rPr>
        <w:t xml:space="preserve">If proof of income is </w:t>
      </w:r>
      <w:r>
        <w:rPr>
          <w:b/>
          <w:bCs/>
          <w:sz w:val="23"/>
          <w:szCs w:val="23"/>
        </w:rPr>
        <w:t>unobtainable</w:t>
      </w:r>
      <w:r>
        <w:rPr>
          <w:sz w:val="23"/>
          <w:szCs w:val="23"/>
        </w:rPr>
        <w:t>, the applicant must complete and sign a Declaration</w:t>
      </w:r>
      <w:r w:rsidR="001A5FB9">
        <w:rPr>
          <w:sz w:val="23"/>
          <w:szCs w:val="23"/>
        </w:rPr>
        <w:t xml:space="preserve"> </w:t>
      </w:r>
      <w:r>
        <w:rPr>
          <w:sz w:val="23"/>
          <w:szCs w:val="23"/>
        </w:rPr>
        <w:t>of Income Statement (DIS).</w:t>
      </w:r>
      <w:r w:rsidR="001044A4">
        <w:rPr>
          <w:sz w:val="23"/>
          <w:szCs w:val="23"/>
        </w:rPr>
        <w:t xml:space="preserve"> The DIS is a TDHCA</w:t>
      </w:r>
      <w:r w:rsidR="009E1776">
        <w:rPr>
          <w:sz w:val="23"/>
          <w:szCs w:val="23"/>
        </w:rPr>
        <w:t>-</w:t>
      </w:r>
      <w:r w:rsidR="001044A4" w:rsidRPr="001044A4">
        <w:rPr>
          <w:sz w:val="23"/>
          <w:szCs w:val="23"/>
        </w:rPr>
        <w:t>approved form used only when it is not possible for a Subrecipient to obtain third-party or firsthand verification of income, per 24 CFR §576.500(e</w:t>
      </w:r>
      <w:proofErr w:type="gramStart"/>
      <w:r w:rsidR="001044A4" w:rsidRPr="001044A4">
        <w:rPr>
          <w:sz w:val="23"/>
          <w:szCs w:val="23"/>
        </w:rPr>
        <w:t>)(</w:t>
      </w:r>
      <w:proofErr w:type="gramEnd"/>
      <w:r w:rsidR="001044A4" w:rsidRPr="001044A4">
        <w:rPr>
          <w:sz w:val="23"/>
          <w:szCs w:val="23"/>
        </w:rPr>
        <w:t>4).</w:t>
      </w:r>
    </w:p>
    <w:p w14:paraId="412C68AB" w14:textId="77777777" w:rsidR="003639BA" w:rsidRDefault="003639BA" w:rsidP="00D73D93">
      <w:pPr>
        <w:pStyle w:val="Default"/>
        <w:rPr>
          <w:sz w:val="23"/>
          <w:szCs w:val="23"/>
        </w:rPr>
      </w:pPr>
    </w:p>
    <w:p w14:paraId="72C47A7F" w14:textId="0897C34F" w:rsidR="00D73D93" w:rsidRDefault="00EB515C" w:rsidP="00D73D93">
      <w:pPr>
        <w:pStyle w:val="Default"/>
        <w:rPr>
          <w:sz w:val="23"/>
          <w:szCs w:val="23"/>
        </w:rPr>
      </w:pPr>
      <w:r>
        <w:rPr>
          <w:sz w:val="23"/>
          <w:szCs w:val="23"/>
        </w:rPr>
        <w:t xml:space="preserve">For households needing to declare that they have </w:t>
      </w:r>
      <w:r w:rsidRPr="006B6700">
        <w:rPr>
          <w:b/>
          <w:sz w:val="23"/>
          <w:szCs w:val="23"/>
        </w:rPr>
        <w:t>zero income</w:t>
      </w:r>
      <w:r>
        <w:rPr>
          <w:sz w:val="23"/>
          <w:szCs w:val="23"/>
        </w:rPr>
        <w:t>, the Certification of Zero Income will need to be used.</w:t>
      </w:r>
    </w:p>
    <w:p w14:paraId="68A27624" w14:textId="77777777" w:rsidR="003639BA" w:rsidRDefault="003639BA" w:rsidP="00D73D93">
      <w:pPr>
        <w:pStyle w:val="Default"/>
        <w:rPr>
          <w:sz w:val="23"/>
          <w:szCs w:val="23"/>
        </w:rPr>
      </w:pPr>
    </w:p>
    <w:p w14:paraId="769C6187" w14:textId="582D91F4" w:rsidR="00D73D93" w:rsidRDefault="00D73D93" w:rsidP="00D73D93">
      <w:pPr>
        <w:pStyle w:val="Default"/>
        <w:rPr>
          <w:sz w:val="23"/>
          <w:szCs w:val="23"/>
        </w:rPr>
      </w:pPr>
      <w:r>
        <w:rPr>
          <w:b/>
          <w:bCs/>
          <w:sz w:val="23"/>
          <w:szCs w:val="23"/>
        </w:rPr>
        <w:t xml:space="preserve">In order to use the DIS form, each Subrecipient must develop and implement a written policy and procedure on the use of the DIS form. </w:t>
      </w:r>
      <w:r>
        <w:rPr>
          <w:sz w:val="23"/>
          <w:szCs w:val="23"/>
        </w:rPr>
        <w:t>The Department</w:t>
      </w:r>
      <w:r w:rsidR="001A5FB9">
        <w:rPr>
          <w:sz w:val="23"/>
          <w:szCs w:val="23"/>
        </w:rPr>
        <w:t xml:space="preserve"> </w:t>
      </w:r>
      <w:r>
        <w:rPr>
          <w:sz w:val="23"/>
          <w:szCs w:val="23"/>
        </w:rPr>
        <w:t xml:space="preserve">will review the written policy and its use during on-site monitoring visits. In developing the policy and procedure, </w:t>
      </w:r>
      <w:r w:rsidR="009E1776">
        <w:rPr>
          <w:sz w:val="23"/>
          <w:szCs w:val="23"/>
        </w:rPr>
        <w:t>S</w:t>
      </w:r>
      <w:r>
        <w:rPr>
          <w:sz w:val="23"/>
          <w:szCs w:val="23"/>
        </w:rPr>
        <w:t xml:space="preserve">ubrecipients should give consideration to limiting the use of the DIS form to cases where there are serious extenuating circumstances that justify the use of the form. Such circumstances may include: </w:t>
      </w:r>
    </w:p>
    <w:p w14:paraId="685680EF" w14:textId="77777777" w:rsidR="00D73D93" w:rsidRDefault="00D73D93" w:rsidP="00D73D93">
      <w:pPr>
        <w:pStyle w:val="Default"/>
        <w:numPr>
          <w:ilvl w:val="0"/>
          <w:numId w:val="2"/>
        </w:numPr>
        <w:spacing w:after="47"/>
        <w:rPr>
          <w:sz w:val="23"/>
          <w:szCs w:val="23"/>
        </w:rPr>
      </w:pPr>
      <w:r>
        <w:rPr>
          <w:sz w:val="23"/>
          <w:szCs w:val="23"/>
        </w:rPr>
        <w:t>crisis situations such as when an applicant is affected by a natural disaster which</w:t>
      </w:r>
      <w:r w:rsidR="001A5FB9">
        <w:rPr>
          <w:sz w:val="23"/>
          <w:szCs w:val="23"/>
        </w:rPr>
        <w:t xml:space="preserve"> </w:t>
      </w:r>
      <w:r>
        <w:rPr>
          <w:sz w:val="23"/>
          <w:szCs w:val="23"/>
        </w:rPr>
        <w:t>prevents the applicant from obtaining income documentation;</w:t>
      </w:r>
    </w:p>
    <w:p w14:paraId="026B5488" w14:textId="23DE710F" w:rsidR="001044A4" w:rsidRDefault="00D73D93" w:rsidP="00D73D93">
      <w:pPr>
        <w:pStyle w:val="Default"/>
        <w:numPr>
          <w:ilvl w:val="0"/>
          <w:numId w:val="2"/>
        </w:numPr>
        <w:spacing w:after="47"/>
        <w:rPr>
          <w:sz w:val="23"/>
          <w:szCs w:val="23"/>
        </w:rPr>
      </w:pPr>
      <w:r>
        <w:rPr>
          <w:sz w:val="23"/>
          <w:szCs w:val="23"/>
        </w:rPr>
        <w:t>applicants that flee a home due to physical abuse;</w:t>
      </w:r>
    </w:p>
    <w:p w14:paraId="6A968E3D" w14:textId="67452544" w:rsidR="00D73D93" w:rsidRDefault="00D73D93" w:rsidP="00D73D93">
      <w:pPr>
        <w:pStyle w:val="Default"/>
        <w:numPr>
          <w:ilvl w:val="0"/>
          <w:numId w:val="2"/>
        </w:numPr>
        <w:rPr>
          <w:sz w:val="23"/>
          <w:szCs w:val="23"/>
        </w:rPr>
      </w:pPr>
      <w:proofErr w:type="gramStart"/>
      <w:r>
        <w:rPr>
          <w:sz w:val="23"/>
          <w:szCs w:val="23"/>
        </w:rPr>
        <w:t>applicants</w:t>
      </w:r>
      <w:proofErr w:type="gramEnd"/>
      <w:r>
        <w:rPr>
          <w:sz w:val="23"/>
          <w:szCs w:val="23"/>
        </w:rPr>
        <w:t xml:space="preserve"> who are unable to locate income documentation of a recently</w:t>
      </w:r>
      <w:r w:rsidR="009E1776">
        <w:rPr>
          <w:sz w:val="23"/>
          <w:szCs w:val="23"/>
        </w:rPr>
        <w:t>-</w:t>
      </w:r>
      <w:r>
        <w:rPr>
          <w:sz w:val="23"/>
          <w:szCs w:val="23"/>
        </w:rPr>
        <w:t>deceased</w:t>
      </w:r>
      <w:r w:rsidR="001A5FB9">
        <w:rPr>
          <w:sz w:val="23"/>
          <w:szCs w:val="23"/>
        </w:rPr>
        <w:t xml:space="preserve"> </w:t>
      </w:r>
      <w:r>
        <w:rPr>
          <w:sz w:val="23"/>
          <w:szCs w:val="23"/>
        </w:rPr>
        <w:t>spouse, or whose work is migratory or seasonal in nature.</w:t>
      </w:r>
    </w:p>
    <w:p w14:paraId="2CDBBA24" w14:textId="77777777" w:rsidR="00D73D93" w:rsidRDefault="00D73D93" w:rsidP="00D73D93">
      <w:pPr>
        <w:pStyle w:val="Default"/>
        <w:rPr>
          <w:sz w:val="23"/>
          <w:szCs w:val="23"/>
        </w:rPr>
      </w:pPr>
    </w:p>
    <w:p w14:paraId="0480CADA" w14:textId="34A9C303" w:rsidR="00D73D93" w:rsidRDefault="001044A4" w:rsidP="00D73D93">
      <w:pPr>
        <w:pStyle w:val="Default"/>
        <w:rPr>
          <w:sz w:val="23"/>
          <w:szCs w:val="23"/>
        </w:rPr>
      </w:pPr>
      <w:r>
        <w:rPr>
          <w:sz w:val="23"/>
          <w:szCs w:val="23"/>
        </w:rPr>
        <w:t>With the exception of serious extenuating circumstances, t</w:t>
      </w:r>
      <w:r w:rsidR="00D73D93">
        <w:rPr>
          <w:sz w:val="23"/>
          <w:szCs w:val="23"/>
        </w:rPr>
        <w:t xml:space="preserve">he Subrecipient must document agency and </w:t>
      </w:r>
      <w:r w:rsidR="009E1776">
        <w:rPr>
          <w:sz w:val="23"/>
          <w:szCs w:val="23"/>
        </w:rPr>
        <w:t xml:space="preserve">Program Participant </w:t>
      </w:r>
      <w:r w:rsidR="00D73D93">
        <w:rPr>
          <w:sz w:val="23"/>
          <w:szCs w:val="23"/>
        </w:rPr>
        <w:t xml:space="preserve">efforts to obtain documentation before </w:t>
      </w:r>
      <w:r w:rsidR="009E1776">
        <w:rPr>
          <w:sz w:val="23"/>
          <w:szCs w:val="23"/>
        </w:rPr>
        <w:t>deciding</w:t>
      </w:r>
      <w:r w:rsidR="00D73D93">
        <w:rPr>
          <w:sz w:val="23"/>
          <w:szCs w:val="23"/>
        </w:rPr>
        <w:t xml:space="preserve"> to use the DIS. The posted DIS form includes a description of why no income documentation is available, and also includes a requirement to list the gross amount of income earned during the 30 day period prior to the date of application </w:t>
      </w:r>
      <w:r w:rsidR="00D73D93">
        <w:rPr>
          <w:b/>
          <w:bCs/>
          <w:sz w:val="23"/>
          <w:szCs w:val="23"/>
        </w:rPr>
        <w:t>for each member of the household 18 years and older</w:t>
      </w:r>
      <w:r w:rsidR="00D73D93">
        <w:rPr>
          <w:sz w:val="23"/>
          <w:szCs w:val="23"/>
        </w:rPr>
        <w:t>. The form must be signed by the applicant.</w:t>
      </w:r>
    </w:p>
    <w:p w14:paraId="4956494D" w14:textId="77777777" w:rsidR="00665DEB" w:rsidRDefault="00665DEB" w:rsidP="00D73D93">
      <w:pPr>
        <w:pStyle w:val="Default"/>
        <w:rPr>
          <w:sz w:val="23"/>
          <w:szCs w:val="23"/>
        </w:rPr>
      </w:pPr>
    </w:p>
    <w:p w14:paraId="168363F4" w14:textId="77777777" w:rsidR="00665DEB" w:rsidRPr="00186A8D" w:rsidRDefault="00665DEB" w:rsidP="00665DEB">
      <w:pPr>
        <w:pStyle w:val="Default"/>
        <w:rPr>
          <w:b/>
          <w:bCs/>
          <w:sz w:val="23"/>
          <w:szCs w:val="23"/>
        </w:rPr>
      </w:pPr>
      <w:r w:rsidRPr="00186A8D">
        <w:rPr>
          <w:b/>
          <w:bCs/>
          <w:sz w:val="23"/>
          <w:szCs w:val="23"/>
        </w:rPr>
        <w:t>Income Determination and Recertification/Re-evaluation by Program Activity</w:t>
      </w:r>
    </w:p>
    <w:p w14:paraId="499E4708" w14:textId="34A72A0D" w:rsidR="00665DEB" w:rsidRDefault="00665DEB" w:rsidP="00665DEB">
      <w:pPr>
        <w:pStyle w:val="Default"/>
        <w:numPr>
          <w:ilvl w:val="0"/>
          <w:numId w:val="7"/>
        </w:numPr>
        <w:tabs>
          <w:tab w:val="clear" w:pos="1440"/>
          <w:tab w:val="num" w:pos="360"/>
        </w:tabs>
        <w:ind w:left="360"/>
        <w:rPr>
          <w:bCs/>
          <w:sz w:val="23"/>
          <w:szCs w:val="23"/>
        </w:rPr>
      </w:pPr>
      <w:r>
        <w:rPr>
          <w:bCs/>
          <w:sz w:val="23"/>
          <w:szCs w:val="23"/>
        </w:rPr>
        <w:t>ESG Emergency Shelter and Street Outreach</w:t>
      </w:r>
    </w:p>
    <w:p w14:paraId="5817CB02" w14:textId="77777777" w:rsidR="00665DEB" w:rsidRDefault="00665DEB" w:rsidP="00665DEB">
      <w:pPr>
        <w:pStyle w:val="Default"/>
        <w:numPr>
          <w:ilvl w:val="1"/>
          <w:numId w:val="7"/>
        </w:numPr>
        <w:rPr>
          <w:bCs/>
          <w:sz w:val="23"/>
          <w:szCs w:val="23"/>
        </w:rPr>
      </w:pPr>
      <w:r>
        <w:rPr>
          <w:bCs/>
          <w:sz w:val="23"/>
          <w:szCs w:val="23"/>
        </w:rPr>
        <w:t>No income determination required</w:t>
      </w:r>
    </w:p>
    <w:p w14:paraId="23D3E20C" w14:textId="06AA7285" w:rsidR="00665DEB" w:rsidRDefault="00665DEB" w:rsidP="00665DEB">
      <w:pPr>
        <w:pStyle w:val="Default"/>
        <w:numPr>
          <w:ilvl w:val="0"/>
          <w:numId w:val="7"/>
        </w:numPr>
        <w:tabs>
          <w:tab w:val="clear" w:pos="1440"/>
          <w:tab w:val="num" w:pos="360"/>
        </w:tabs>
        <w:ind w:left="360"/>
        <w:rPr>
          <w:bCs/>
          <w:sz w:val="23"/>
          <w:szCs w:val="23"/>
        </w:rPr>
      </w:pPr>
      <w:r>
        <w:rPr>
          <w:bCs/>
          <w:sz w:val="23"/>
          <w:szCs w:val="23"/>
        </w:rPr>
        <w:t>ESG Homelessness Prevention</w:t>
      </w:r>
    </w:p>
    <w:p w14:paraId="1293A36E" w14:textId="5743F837" w:rsidR="00665DEB" w:rsidRPr="003850E9" w:rsidRDefault="00665DEB" w:rsidP="0035027F">
      <w:pPr>
        <w:pStyle w:val="Default"/>
        <w:numPr>
          <w:ilvl w:val="1"/>
          <w:numId w:val="7"/>
        </w:numPr>
        <w:rPr>
          <w:bCs/>
          <w:sz w:val="23"/>
          <w:szCs w:val="23"/>
        </w:rPr>
      </w:pPr>
      <w:r>
        <w:rPr>
          <w:bCs/>
          <w:sz w:val="23"/>
          <w:szCs w:val="23"/>
        </w:rPr>
        <w:t>Initial income determination required and m</w:t>
      </w:r>
      <w:r w:rsidRPr="003850E9">
        <w:rPr>
          <w:bCs/>
          <w:sz w:val="23"/>
          <w:szCs w:val="23"/>
        </w:rPr>
        <w:t>ust be re-evaluated not less than once every 3 months</w:t>
      </w:r>
      <w:r w:rsidR="00032C36">
        <w:rPr>
          <w:bCs/>
          <w:sz w:val="23"/>
          <w:szCs w:val="23"/>
        </w:rPr>
        <w:t xml:space="preserve"> (HUD has issued a waiver allowing re-evaluations to occur not less </w:t>
      </w:r>
      <w:r w:rsidR="00032C36">
        <w:rPr>
          <w:bCs/>
          <w:sz w:val="23"/>
          <w:szCs w:val="23"/>
        </w:rPr>
        <w:lastRenderedPageBreak/>
        <w:t>than once every six months for Homelessness Prevention. This waiver is in effect until March 31, 2022)</w:t>
      </w:r>
    </w:p>
    <w:p w14:paraId="44F167DC" w14:textId="77777777" w:rsidR="00665DEB" w:rsidRDefault="00665DEB" w:rsidP="00665DEB">
      <w:pPr>
        <w:pStyle w:val="Default"/>
        <w:numPr>
          <w:ilvl w:val="0"/>
          <w:numId w:val="7"/>
        </w:numPr>
        <w:tabs>
          <w:tab w:val="clear" w:pos="1440"/>
          <w:tab w:val="num" w:pos="360"/>
        </w:tabs>
        <w:ind w:left="360"/>
        <w:rPr>
          <w:bCs/>
          <w:sz w:val="23"/>
          <w:szCs w:val="23"/>
        </w:rPr>
      </w:pPr>
      <w:r>
        <w:rPr>
          <w:bCs/>
          <w:sz w:val="23"/>
          <w:szCs w:val="23"/>
        </w:rPr>
        <w:t>ESG Rapid Re-Housing Assistance</w:t>
      </w:r>
    </w:p>
    <w:p w14:paraId="7C2A45E6" w14:textId="77777777" w:rsidR="00665DEB" w:rsidRDefault="00665DEB" w:rsidP="00665DEB">
      <w:pPr>
        <w:pStyle w:val="Default"/>
        <w:numPr>
          <w:ilvl w:val="1"/>
          <w:numId w:val="7"/>
        </w:numPr>
        <w:rPr>
          <w:bCs/>
          <w:sz w:val="23"/>
          <w:szCs w:val="23"/>
        </w:rPr>
      </w:pPr>
      <w:r w:rsidRPr="003850E9">
        <w:rPr>
          <w:bCs/>
          <w:sz w:val="23"/>
          <w:szCs w:val="23"/>
        </w:rPr>
        <w:t>Annual re-evaluations only, not required at initial evaluation</w:t>
      </w:r>
    </w:p>
    <w:p w14:paraId="7CC886BB" w14:textId="17EB35B3" w:rsidR="00665DEB" w:rsidRDefault="00665DEB" w:rsidP="00665DEB">
      <w:pPr>
        <w:pStyle w:val="Default"/>
        <w:numPr>
          <w:ilvl w:val="0"/>
          <w:numId w:val="7"/>
        </w:numPr>
        <w:tabs>
          <w:tab w:val="clear" w:pos="1440"/>
          <w:tab w:val="num" w:pos="360"/>
        </w:tabs>
        <w:ind w:left="360"/>
        <w:rPr>
          <w:bCs/>
          <w:sz w:val="23"/>
          <w:szCs w:val="23"/>
        </w:rPr>
      </w:pPr>
      <w:r>
        <w:rPr>
          <w:bCs/>
          <w:sz w:val="23"/>
          <w:szCs w:val="23"/>
        </w:rPr>
        <w:t xml:space="preserve">HHSP Case Management, Essential Services and Emergency Shelter for Households </w:t>
      </w:r>
      <w:r w:rsidR="00032C36">
        <w:rPr>
          <w:bCs/>
          <w:sz w:val="23"/>
          <w:szCs w:val="23"/>
        </w:rPr>
        <w:t>Experiencing Homelessness</w:t>
      </w:r>
    </w:p>
    <w:p w14:paraId="33E5AFA4" w14:textId="2EA7F08E" w:rsidR="00665DEB" w:rsidRPr="00DF04D2" w:rsidRDefault="00665DEB" w:rsidP="00665DEB">
      <w:pPr>
        <w:pStyle w:val="Default"/>
        <w:numPr>
          <w:ilvl w:val="1"/>
          <w:numId w:val="7"/>
        </w:numPr>
        <w:rPr>
          <w:bCs/>
          <w:sz w:val="23"/>
          <w:szCs w:val="23"/>
        </w:rPr>
      </w:pPr>
      <w:r>
        <w:rPr>
          <w:bCs/>
          <w:sz w:val="23"/>
          <w:szCs w:val="23"/>
        </w:rPr>
        <w:t>No income determination required</w:t>
      </w:r>
    </w:p>
    <w:p w14:paraId="0D8FFC39" w14:textId="516697EE" w:rsidR="00665DEB" w:rsidRDefault="00665DEB" w:rsidP="00665DEB">
      <w:pPr>
        <w:pStyle w:val="Default"/>
        <w:numPr>
          <w:ilvl w:val="0"/>
          <w:numId w:val="7"/>
        </w:numPr>
        <w:tabs>
          <w:tab w:val="clear" w:pos="1440"/>
          <w:tab w:val="num" w:pos="360"/>
        </w:tabs>
        <w:ind w:left="360"/>
        <w:rPr>
          <w:bCs/>
          <w:sz w:val="23"/>
          <w:szCs w:val="23"/>
        </w:rPr>
      </w:pPr>
      <w:r>
        <w:rPr>
          <w:bCs/>
          <w:sz w:val="23"/>
          <w:szCs w:val="23"/>
        </w:rPr>
        <w:t xml:space="preserve">HHSP Homelessness Assistance for </w:t>
      </w:r>
      <w:r w:rsidR="00032C36">
        <w:rPr>
          <w:bCs/>
          <w:sz w:val="23"/>
          <w:szCs w:val="23"/>
        </w:rPr>
        <w:t xml:space="preserve">Households experiencing </w:t>
      </w:r>
      <w:r>
        <w:rPr>
          <w:bCs/>
          <w:sz w:val="23"/>
          <w:szCs w:val="23"/>
        </w:rPr>
        <w:t>Homeless</w:t>
      </w:r>
      <w:r w:rsidR="00032C36">
        <w:rPr>
          <w:bCs/>
          <w:sz w:val="23"/>
          <w:szCs w:val="23"/>
        </w:rPr>
        <w:t>ness</w:t>
      </w:r>
    </w:p>
    <w:p w14:paraId="67CBE1C8" w14:textId="77777777" w:rsidR="00665DEB" w:rsidRPr="00DF04D2" w:rsidRDefault="00665DEB" w:rsidP="00665DEB">
      <w:pPr>
        <w:pStyle w:val="Default"/>
        <w:numPr>
          <w:ilvl w:val="1"/>
          <w:numId w:val="7"/>
        </w:numPr>
        <w:rPr>
          <w:bCs/>
          <w:sz w:val="23"/>
          <w:szCs w:val="23"/>
        </w:rPr>
      </w:pPr>
      <w:r w:rsidRPr="003850E9">
        <w:rPr>
          <w:bCs/>
          <w:sz w:val="23"/>
          <w:szCs w:val="23"/>
        </w:rPr>
        <w:t>Annual re</w:t>
      </w:r>
      <w:r>
        <w:rPr>
          <w:bCs/>
          <w:sz w:val="23"/>
          <w:szCs w:val="23"/>
        </w:rPr>
        <w:t xml:space="preserve">certification </w:t>
      </w:r>
      <w:r w:rsidRPr="003850E9">
        <w:rPr>
          <w:bCs/>
          <w:sz w:val="23"/>
          <w:szCs w:val="23"/>
        </w:rPr>
        <w:t>only, not required at initial evaluation</w:t>
      </w:r>
    </w:p>
    <w:p w14:paraId="13A1B603" w14:textId="67DF5482" w:rsidR="00665DEB" w:rsidRDefault="00665DEB" w:rsidP="00665DEB">
      <w:pPr>
        <w:pStyle w:val="Default"/>
        <w:numPr>
          <w:ilvl w:val="0"/>
          <w:numId w:val="7"/>
        </w:numPr>
        <w:tabs>
          <w:tab w:val="clear" w:pos="1440"/>
          <w:tab w:val="num" w:pos="360"/>
        </w:tabs>
        <w:ind w:left="360"/>
        <w:rPr>
          <w:bCs/>
          <w:sz w:val="23"/>
          <w:szCs w:val="23"/>
        </w:rPr>
      </w:pPr>
      <w:r>
        <w:rPr>
          <w:bCs/>
          <w:sz w:val="23"/>
          <w:szCs w:val="23"/>
        </w:rPr>
        <w:t>HHSP Activities for Households At-Risk of Homelessness</w:t>
      </w:r>
    </w:p>
    <w:p w14:paraId="3DD04A56" w14:textId="5827193B" w:rsidR="00665DEB" w:rsidRPr="00DF04D2" w:rsidRDefault="00665DEB" w:rsidP="00665DEB">
      <w:pPr>
        <w:pStyle w:val="Default"/>
        <w:numPr>
          <w:ilvl w:val="1"/>
          <w:numId w:val="7"/>
        </w:numPr>
        <w:rPr>
          <w:bCs/>
          <w:sz w:val="23"/>
          <w:szCs w:val="23"/>
        </w:rPr>
      </w:pPr>
      <w:r>
        <w:rPr>
          <w:bCs/>
          <w:sz w:val="23"/>
          <w:szCs w:val="23"/>
        </w:rPr>
        <w:t>Initial income determination and annual recertification</w:t>
      </w:r>
      <w:r w:rsidR="00891667">
        <w:rPr>
          <w:bCs/>
          <w:sz w:val="23"/>
          <w:szCs w:val="23"/>
        </w:rPr>
        <w:t xml:space="preserve">. </w:t>
      </w:r>
    </w:p>
    <w:p w14:paraId="5BF2C384" w14:textId="77777777" w:rsidR="00D73D93" w:rsidRDefault="00D73D93" w:rsidP="00D73D93">
      <w:pPr>
        <w:pStyle w:val="Default"/>
        <w:rPr>
          <w:b/>
          <w:bCs/>
          <w:sz w:val="23"/>
          <w:szCs w:val="23"/>
        </w:rPr>
      </w:pPr>
    </w:p>
    <w:p w14:paraId="0B43933F" w14:textId="77777777" w:rsidR="00D73D93" w:rsidRPr="00D73D93" w:rsidRDefault="00D73D93" w:rsidP="00D73D93">
      <w:pPr>
        <w:pStyle w:val="Default"/>
        <w:rPr>
          <w:b/>
          <w:bCs/>
          <w:sz w:val="23"/>
          <w:szCs w:val="23"/>
          <w:u w:val="single"/>
        </w:rPr>
      </w:pPr>
      <w:r w:rsidRPr="00D73D93">
        <w:rPr>
          <w:b/>
          <w:bCs/>
          <w:sz w:val="23"/>
          <w:szCs w:val="23"/>
          <w:u w:val="single"/>
        </w:rPr>
        <w:t xml:space="preserve">INQUIRIES </w:t>
      </w:r>
    </w:p>
    <w:p w14:paraId="3A7487C4" w14:textId="77777777" w:rsidR="00D73D93" w:rsidRDefault="00D73D93" w:rsidP="00D73D93">
      <w:pPr>
        <w:pStyle w:val="Default"/>
        <w:rPr>
          <w:sz w:val="23"/>
          <w:szCs w:val="23"/>
        </w:rPr>
      </w:pPr>
    </w:p>
    <w:p w14:paraId="238946AB" w14:textId="089E596D" w:rsidR="00D73D93" w:rsidRDefault="00D73D93" w:rsidP="00D73D93">
      <w:pPr>
        <w:pStyle w:val="Default"/>
        <w:rPr>
          <w:sz w:val="23"/>
          <w:szCs w:val="23"/>
        </w:rPr>
      </w:pPr>
      <w:r>
        <w:rPr>
          <w:sz w:val="23"/>
          <w:szCs w:val="23"/>
        </w:rPr>
        <w:t xml:space="preserve">Questions or inquiries </w:t>
      </w:r>
      <w:r w:rsidR="00CF356F">
        <w:rPr>
          <w:sz w:val="23"/>
          <w:szCs w:val="23"/>
        </w:rPr>
        <w:t xml:space="preserve">can </w:t>
      </w:r>
      <w:r>
        <w:rPr>
          <w:sz w:val="23"/>
          <w:szCs w:val="23"/>
        </w:rPr>
        <w:t xml:space="preserve">be directed to </w:t>
      </w:r>
      <w:hyperlink r:id="rId7" w:history="1">
        <w:r w:rsidR="00CF356F" w:rsidRPr="00024D36">
          <w:rPr>
            <w:rStyle w:val="Hyperlink"/>
            <w:sz w:val="23"/>
            <w:szCs w:val="23"/>
          </w:rPr>
          <w:t>esg@tdhca.state.tx.us</w:t>
        </w:r>
      </w:hyperlink>
      <w:r w:rsidR="00CF356F">
        <w:rPr>
          <w:sz w:val="23"/>
          <w:szCs w:val="23"/>
        </w:rPr>
        <w:t xml:space="preserve"> or </w:t>
      </w:r>
      <w:hyperlink r:id="rId8" w:history="1">
        <w:r w:rsidR="0001501B" w:rsidRPr="00C72051">
          <w:rPr>
            <w:rStyle w:val="Hyperlink"/>
            <w:sz w:val="23"/>
            <w:szCs w:val="23"/>
          </w:rPr>
          <w:t>hhsp@tdhca.state.tx.us</w:t>
        </w:r>
      </w:hyperlink>
      <w:r>
        <w:rPr>
          <w:sz w:val="23"/>
          <w:szCs w:val="23"/>
        </w:rPr>
        <w:t xml:space="preserve">. </w:t>
      </w:r>
    </w:p>
    <w:p w14:paraId="6468C724" w14:textId="77777777" w:rsidR="00D73D93" w:rsidRDefault="00D73D93" w:rsidP="00D73D93">
      <w:pPr>
        <w:pStyle w:val="Default"/>
        <w:rPr>
          <w:color w:val="auto"/>
        </w:rPr>
      </w:pPr>
    </w:p>
    <w:p w14:paraId="22AC92B0" w14:textId="3DEB6C27" w:rsidR="00D4246A" w:rsidRDefault="00D73D93" w:rsidP="00D73D93">
      <w:r>
        <w:t xml:space="preserve"> </w:t>
      </w:r>
      <w:r>
        <w:rPr>
          <w:rFonts w:ascii="Garamond" w:hAnsi="Garamond" w:cs="Garamond"/>
          <w:b/>
          <w:bCs/>
          <w:sz w:val="18"/>
          <w:szCs w:val="18"/>
        </w:rPr>
        <w:t xml:space="preserve">Revised </w:t>
      </w:r>
      <w:r w:rsidR="00032C36">
        <w:rPr>
          <w:rFonts w:ascii="Garamond" w:hAnsi="Garamond" w:cs="Garamond"/>
          <w:b/>
          <w:bCs/>
          <w:sz w:val="18"/>
          <w:szCs w:val="18"/>
        </w:rPr>
        <w:t>7/2020</w:t>
      </w:r>
    </w:p>
    <w:sectPr w:rsidR="00D4246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E4CBF" w14:textId="77777777" w:rsidR="003639BA" w:rsidRDefault="003639BA" w:rsidP="003639BA">
      <w:pPr>
        <w:spacing w:after="0" w:line="240" w:lineRule="auto"/>
      </w:pPr>
      <w:r>
        <w:separator/>
      </w:r>
    </w:p>
  </w:endnote>
  <w:endnote w:type="continuationSeparator" w:id="0">
    <w:p w14:paraId="11512BAD" w14:textId="77777777" w:rsidR="003639BA" w:rsidRDefault="003639BA" w:rsidP="00363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979685"/>
      <w:docPartObj>
        <w:docPartGallery w:val="Page Numbers (Bottom of Page)"/>
        <w:docPartUnique/>
      </w:docPartObj>
    </w:sdtPr>
    <w:sdtEndPr>
      <w:rPr>
        <w:noProof/>
      </w:rPr>
    </w:sdtEndPr>
    <w:sdtContent>
      <w:p w14:paraId="52C00D18" w14:textId="3B488F08" w:rsidR="003639BA" w:rsidRDefault="003639BA">
        <w:pPr>
          <w:pStyle w:val="Footer"/>
          <w:jc w:val="right"/>
        </w:pPr>
        <w:r>
          <w:fldChar w:fldCharType="begin"/>
        </w:r>
        <w:r>
          <w:instrText xml:space="preserve"> PAGE   \* MERGEFORMAT </w:instrText>
        </w:r>
        <w:r>
          <w:fldChar w:fldCharType="separate"/>
        </w:r>
        <w:r w:rsidR="00A35A54">
          <w:rPr>
            <w:noProof/>
          </w:rPr>
          <w:t>2</w:t>
        </w:r>
        <w:r>
          <w:rPr>
            <w:noProof/>
          </w:rPr>
          <w:fldChar w:fldCharType="end"/>
        </w:r>
      </w:p>
    </w:sdtContent>
  </w:sdt>
  <w:p w14:paraId="29E41D47" w14:textId="77777777" w:rsidR="003639BA" w:rsidRDefault="00363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A6089" w14:textId="77777777" w:rsidR="003639BA" w:rsidRDefault="003639BA" w:rsidP="003639BA">
      <w:pPr>
        <w:spacing w:after="0" w:line="240" w:lineRule="auto"/>
      </w:pPr>
      <w:r>
        <w:separator/>
      </w:r>
    </w:p>
  </w:footnote>
  <w:footnote w:type="continuationSeparator" w:id="0">
    <w:p w14:paraId="78A053FA" w14:textId="77777777" w:rsidR="003639BA" w:rsidRDefault="003639BA" w:rsidP="003639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6AC9"/>
    <w:multiLevelType w:val="hybridMultilevel"/>
    <w:tmpl w:val="0376402E"/>
    <w:lvl w:ilvl="0" w:tplc="D0281928">
      <w:start w:val="60"/>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A54DED"/>
    <w:multiLevelType w:val="hybridMultilevel"/>
    <w:tmpl w:val="7A544502"/>
    <w:lvl w:ilvl="0" w:tplc="D0281928">
      <w:start w:val="60"/>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67447"/>
    <w:multiLevelType w:val="hybridMultilevel"/>
    <w:tmpl w:val="213C4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C863DD"/>
    <w:multiLevelType w:val="hybridMultilevel"/>
    <w:tmpl w:val="8E9C90BC"/>
    <w:lvl w:ilvl="0" w:tplc="D0281928">
      <w:start w:val="60"/>
      <w:numFmt w:val="bullet"/>
      <w:lvlText w:val="•"/>
      <w:lvlJc w:val="left"/>
      <w:pPr>
        <w:tabs>
          <w:tab w:val="num" w:pos="1440"/>
        </w:tabs>
        <w:ind w:left="144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56690"/>
    <w:multiLevelType w:val="hybridMultilevel"/>
    <w:tmpl w:val="65DC14A6"/>
    <w:lvl w:ilvl="0" w:tplc="B9CC381A">
      <w:start w:val="1"/>
      <w:numFmt w:val="bullet"/>
      <w:lvlText w:val="•"/>
      <w:lvlJc w:val="left"/>
      <w:pPr>
        <w:tabs>
          <w:tab w:val="num" w:pos="720"/>
        </w:tabs>
        <w:ind w:left="720" w:hanging="360"/>
      </w:pPr>
      <w:rPr>
        <w:rFonts w:ascii="Arial" w:hAnsi="Arial" w:hint="default"/>
      </w:rPr>
    </w:lvl>
    <w:lvl w:ilvl="1" w:tplc="D0281928">
      <w:start w:val="60"/>
      <w:numFmt w:val="bullet"/>
      <w:lvlText w:val="•"/>
      <w:lvlJc w:val="left"/>
      <w:pPr>
        <w:tabs>
          <w:tab w:val="num" w:pos="1440"/>
        </w:tabs>
        <w:ind w:left="1440" w:hanging="360"/>
      </w:pPr>
      <w:rPr>
        <w:rFonts w:ascii="Arial" w:hAnsi="Arial" w:hint="default"/>
      </w:rPr>
    </w:lvl>
    <w:lvl w:ilvl="2" w:tplc="97565022">
      <w:start w:val="60"/>
      <w:numFmt w:val="bullet"/>
      <w:lvlText w:val="•"/>
      <w:lvlJc w:val="left"/>
      <w:pPr>
        <w:tabs>
          <w:tab w:val="num" w:pos="2160"/>
        </w:tabs>
        <w:ind w:left="2160" w:hanging="360"/>
      </w:pPr>
      <w:rPr>
        <w:rFonts w:ascii="Arial" w:hAnsi="Arial" w:hint="default"/>
      </w:rPr>
    </w:lvl>
    <w:lvl w:ilvl="3" w:tplc="9BB622BC" w:tentative="1">
      <w:start w:val="1"/>
      <w:numFmt w:val="bullet"/>
      <w:lvlText w:val="•"/>
      <w:lvlJc w:val="left"/>
      <w:pPr>
        <w:tabs>
          <w:tab w:val="num" w:pos="2880"/>
        </w:tabs>
        <w:ind w:left="2880" w:hanging="360"/>
      </w:pPr>
      <w:rPr>
        <w:rFonts w:ascii="Arial" w:hAnsi="Arial" w:hint="default"/>
      </w:rPr>
    </w:lvl>
    <w:lvl w:ilvl="4" w:tplc="FEBC39DA" w:tentative="1">
      <w:start w:val="1"/>
      <w:numFmt w:val="bullet"/>
      <w:lvlText w:val="•"/>
      <w:lvlJc w:val="left"/>
      <w:pPr>
        <w:tabs>
          <w:tab w:val="num" w:pos="3600"/>
        </w:tabs>
        <w:ind w:left="3600" w:hanging="360"/>
      </w:pPr>
      <w:rPr>
        <w:rFonts w:ascii="Arial" w:hAnsi="Arial" w:hint="default"/>
      </w:rPr>
    </w:lvl>
    <w:lvl w:ilvl="5" w:tplc="B6185B76" w:tentative="1">
      <w:start w:val="1"/>
      <w:numFmt w:val="bullet"/>
      <w:lvlText w:val="•"/>
      <w:lvlJc w:val="left"/>
      <w:pPr>
        <w:tabs>
          <w:tab w:val="num" w:pos="4320"/>
        </w:tabs>
        <w:ind w:left="4320" w:hanging="360"/>
      </w:pPr>
      <w:rPr>
        <w:rFonts w:ascii="Arial" w:hAnsi="Arial" w:hint="default"/>
      </w:rPr>
    </w:lvl>
    <w:lvl w:ilvl="6" w:tplc="59765958" w:tentative="1">
      <w:start w:val="1"/>
      <w:numFmt w:val="bullet"/>
      <w:lvlText w:val="•"/>
      <w:lvlJc w:val="left"/>
      <w:pPr>
        <w:tabs>
          <w:tab w:val="num" w:pos="5040"/>
        </w:tabs>
        <w:ind w:left="5040" w:hanging="360"/>
      </w:pPr>
      <w:rPr>
        <w:rFonts w:ascii="Arial" w:hAnsi="Arial" w:hint="default"/>
      </w:rPr>
    </w:lvl>
    <w:lvl w:ilvl="7" w:tplc="1B1C48EE" w:tentative="1">
      <w:start w:val="1"/>
      <w:numFmt w:val="bullet"/>
      <w:lvlText w:val="•"/>
      <w:lvlJc w:val="left"/>
      <w:pPr>
        <w:tabs>
          <w:tab w:val="num" w:pos="5760"/>
        </w:tabs>
        <w:ind w:left="5760" w:hanging="360"/>
      </w:pPr>
      <w:rPr>
        <w:rFonts w:ascii="Arial" w:hAnsi="Arial" w:hint="default"/>
      </w:rPr>
    </w:lvl>
    <w:lvl w:ilvl="8" w:tplc="59825F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2F3781"/>
    <w:multiLevelType w:val="hybridMultilevel"/>
    <w:tmpl w:val="05C8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8A4188"/>
    <w:multiLevelType w:val="hybridMultilevel"/>
    <w:tmpl w:val="899E061E"/>
    <w:lvl w:ilvl="0" w:tplc="D0281928">
      <w:start w:val="60"/>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6C123717"/>
    <w:multiLevelType w:val="hybridMultilevel"/>
    <w:tmpl w:val="6DCC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422823"/>
    <w:multiLevelType w:val="hybridMultilevel"/>
    <w:tmpl w:val="FC60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4"/>
  </w:num>
  <w:num w:numId="5">
    <w:abstractNumId w:val="8"/>
  </w:num>
  <w:num w:numId="6">
    <w:abstractNumId w:val="0"/>
  </w:num>
  <w:num w:numId="7">
    <w:abstractNumId w:val="3"/>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ocumentProtection w:edit="readOnly" w:enforcement="1" w:cryptProviderType="rsaAES" w:cryptAlgorithmClass="hash" w:cryptAlgorithmType="typeAny" w:cryptAlgorithmSid="14" w:cryptSpinCount="100000" w:hash="xylFIYMCm+iGmpeqQL7oQC/RxgwpQVqQh0bEaJy/uHGEPZo/yrzAIwpnfYH/Qg1u8DgZaJH9DGqnv0mR5Ccv2Q==" w:salt="46VHMyT5p9tzrt1aKHCS8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D93"/>
    <w:rsid w:val="0001501B"/>
    <w:rsid w:val="00032C36"/>
    <w:rsid w:val="001044A4"/>
    <w:rsid w:val="00186A8D"/>
    <w:rsid w:val="001A5FB9"/>
    <w:rsid w:val="001D2FD2"/>
    <w:rsid w:val="0032625D"/>
    <w:rsid w:val="0035027F"/>
    <w:rsid w:val="003639BA"/>
    <w:rsid w:val="00365936"/>
    <w:rsid w:val="003A74B2"/>
    <w:rsid w:val="00451184"/>
    <w:rsid w:val="00465E46"/>
    <w:rsid w:val="004801D9"/>
    <w:rsid w:val="0048426A"/>
    <w:rsid w:val="00484E89"/>
    <w:rsid w:val="006152F7"/>
    <w:rsid w:val="00665DEB"/>
    <w:rsid w:val="006B6700"/>
    <w:rsid w:val="00891667"/>
    <w:rsid w:val="008D7FED"/>
    <w:rsid w:val="00922906"/>
    <w:rsid w:val="00955B7F"/>
    <w:rsid w:val="009E1776"/>
    <w:rsid w:val="00A35A54"/>
    <w:rsid w:val="00A508F2"/>
    <w:rsid w:val="00A8573D"/>
    <w:rsid w:val="00B45B44"/>
    <w:rsid w:val="00C3387D"/>
    <w:rsid w:val="00C458DE"/>
    <w:rsid w:val="00CD0C96"/>
    <w:rsid w:val="00CF356F"/>
    <w:rsid w:val="00D4246A"/>
    <w:rsid w:val="00D73D93"/>
    <w:rsid w:val="00D80BA0"/>
    <w:rsid w:val="00DA4250"/>
    <w:rsid w:val="00DF04D2"/>
    <w:rsid w:val="00DF097D"/>
    <w:rsid w:val="00E16030"/>
    <w:rsid w:val="00E16E59"/>
    <w:rsid w:val="00E4013F"/>
    <w:rsid w:val="00E60ED5"/>
    <w:rsid w:val="00EA571A"/>
    <w:rsid w:val="00EB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E32B8"/>
  <w15:chartTrackingRefBased/>
  <w15:docId w15:val="{7F218D1D-10E9-4F72-8A3E-0BAD69AC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3D9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73D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D93"/>
    <w:rPr>
      <w:rFonts w:ascii="Segoe UI" w:hAnsi="Segoe UI" w:cs="Segoe UI"/>
      <w:sz w:val="18"/>
      <w:szCs w:val="18"/>
    </w:rPr>
  </w:style>
  <w:style w:type="character" w:styleId="Hyperlink">
    <w:name w:val="Hyperlink"/>
    <w:basedOn w:val="DefaultParagraphFont"/>
    <w:uiPriority w:val="99"/>
    <w:unhideWhenUsed/>
    <w:rsid w:val="00CF356F"/>
    <w:rPr>
      <w:color w:val="0000FF" w:themeColor="hyperlink"/>
      <w:u w:val="single"/>
    </w:rPr>
  </w:style>
  <w:style w:type="character" w:styleId="CommentReference">
    <w:name w:val="annotation reference"/>
    <w:basedOn w:val="DefaultParagraphFont"/>
    <w:uiPriority w:val="99"/>
    <w:semiHidden/>
    <w:unhideWhenUsed/>
    <w:rsid w:val="00DF04D2"/>
    <w:rPr>
      <w:sz w:val="16"/>
      <w:szCs w:val="16"/>
    </w:rPr>
  </w:style>
  <w:style w:type="paragraph" w:styleId="CommentText">
    <w:name w:val="annotation text"/>
    <w:basedOn w:val="Normal"/>
    <w:link w:val="CommentTextChar"/>
    <w:uiPriority w:val="99"/>
    <w:semiHidden/>
    <w:unhideWhenUsed/>
    <w:rsid w:val="00DF04D2"/>
    <w:pPr>
      <w:spacing w:line="240" w:lineRule="auto"/>
    </w:pPr>
    <w:rPr>
      <w:sz w:val="20"/>
      <w:szCs w:val="20"/>
    </w:rPr>
  </w:style>
  <w:style w:type="character" w:customStyle="1" w:styleId="CommentTextChar">
    <w:name w:val="Comment Text Char"/>
    <w:basedOn w:val="DefaultParagraphFont"/>
    <w:link w:val="CommentText"/>
    <w:uiPriority w:val="99"/>
    <w:semiHidden/>
    <w:rsid w:val="00DF04D2"/>
    <w:rPr>
      <w:sz w:val="20"/>
      <w:szCs w:val="20"/>
    </w:rPr>
  </w:style>
  <w:style w:type="paragraph" w:styleId="CommentSubject">
    <w:name w:val="annotation subject"/>
    <w:basedOn w:val="CommentText"/>
    <w:next w:val="CommentText"/>
    <w:link w:val="CommentSubjectChar"/>
    <w:uiPriority w:val="99"/>
    <w:semiHidden/>
    <w:unhideWhenUsed/>
    <w:rsid w:val="00DF04D2"/>
    <w:rPr>
      <w:b/>
      <w:bCs/>
    </w:rPr>
  </w:style>
  <w:style w:type="character" w:customStyle="1" w:styleId="CommentSubjectChar">
    <w:name w:val="Comment Subject Char"/>
    <w:basedOn w:val="CommentTextChar"/>
    <w:link w:val="CommentSubject"/>
    <w:uiPriority w:val="99"/>
    <w:semiHidden/>
    <w:rsid w:val="00DF04D2"/>
    <w:rPr>
      <w:b/>
      <w:bCs/>
      <w:sz w:val="20"/>
      <w:szCs w:val="20"/>
    </w:rPr>
  </w:style>
  <w:style w:type="paragraph" w:styleId="Revision">
    <w:name w:val="Revision"/>
    <w:hidden/>
    <w:uiPriority w:val="99"/>
    <w:semiHidden/>
    <w:rsid w:val="00DF04D2"/>
    <w:pPr>
      <w:spacing w:after="0" w:line="240" w:lineRule="auto"/>
    </w:pPr>
  </w:style>
  <w:style w:type="paragraph" w:styleId="Header">
    <w:name w:val="header"/>
    <w:basedOn w:val="Normal"/>
    <w:link w:val="HeaderChar"/>
    <w:uiPriority w:val="99"/>
    <w:unhideWhenUsed/>
    <w:rsid w:val="00363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9BA"/>
  </w:style>
  <w:style w:type="paragraph" w:styleId="Footer">
    <w:name w:val="footer"/>
    <w:basedOn w:val="Normal"/>
    <w:link w:val="FooterChar"/>
    <w:uiPriority w:val="99"/>
    <w:unhideWhenUsed/>
    <w:rsid w:val="00363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52026">
      <w:bodyDiv w:val="1"/>
      <w:marLeft w:val="0"/>
      <w:marRight w:val="0"/>
      <w:marTop w:val="0"/>
      <w:marBottom w:val="0"/>
      <w:divBdr>
        <w:top w:val="none" w:sz="0" w:space="0" w:color="auto"/>
        <w:left w:val="none" w:sz="0" w:space="0" w:color="auto"/>
        <w:bottom w:val="none" w:sz="0" w:space="0" w:color="auto"/>
        <w:right w:val="none" w:sz="0" w:space="0" w:color="auto"/>
      </w:divBdr>
    </w:div>
    <w:div w:id="602811320">
      <w:bodyDiv w:val="1"/>
      <w:marLeft w:val="0"/>
      <w:marRight w:val="0"/>
      <w:marTop w:val="0"/>
      <w:marBottom w:val="0"/>
      <w:divBdr>
        <w:top w:val="none" w:sz="0" w:space="0" w:color="auto"/>
        <w:left w:val="none" w:sz="0" w:space="0" w:color="auto"/>
        <w:bottom w:val="none" w:sz="0" w:space="0" w:color="auto"/>
        <w:right w:val="none" w:sz="0" w:space="0" w:color="auto"/>
      </w:divBdr>
      <w:divsChild>
        <w:div w:id="507253131">
          <w:marLeft w:val="360"/>
          <w:marRight w:val="0"/>
          <w:marTop w:val="200"/>
          <w:marBottom w:val="0"/>
          <w:divBdr>
            <w:top w:val="none" w:sz="0" w:space="0" w:color="auto"/>
            <w:left w:val="none" w:sz="0" w:space="0" w:color="auto"/>
            <w:bottom w:val="none" w:sz="0" w:space="0" w:color="auto"/>
            <w:right w:val="none" w:sz="0" w:space="0" w:color="auto"/>
          </w:divBdr>
        </w:div>
        <w:div w:id="1727947814">
          <w:marLeft w:val="1080"/>
          <w:marRight w:val="0"/>
          <w:marTop w:val="100"/>
          <w:marBottom w:val="0"/>
          <w:divBdr>
            <w:top w:val="none" w:sz="0" w:space="0" w:color="auto"/>
            <w:left w:val="none" w:sz="0" w:space="0" w:color="auto"/>
            <w:bottom w:val="none" w:sz="0" w:space="0" w:color="auto"/>
            <w:right w:val="none" w:sz="0" w:space="0" w:color="auto"/>
          </w:divBdr>
        </w:div>
        <w:div w:id="1876308849">
          <w:marLeft w:val="1800"/>
          <w:marRight w:val="0"/>
          <w:marTop w:val="100"/>
          <w:marBottom w:val="0"/>
          <w:divBdr>
            <w:top w:val="none" w:sz="0" w:space="0" w:color="auto"/>
            <w:left w:val="none" w:sz="0" w:space="0" w:color="auto"/>
            <w:bottom w:val="none" w:sz="0" w:space="0" w:color="auto"/>
            <w:right w:val="none" w:sz="0" w:space="0" w:color="auto"/>
          </w:divBdr>
        </w:div>
        <w:div w:id="1685747359">
          <w:marLeft w:val="1080"/>
          <w:marRight w:val="0"/>
          <w:marTop w:val="100"/>
          <w:marBottom w:val="0"/>
          <w:divBdr>
            <w:top w:val="none" w:sz="0" w:space="0" w:color="auto"/>
            <w:left w:val="none" w:sz="0" w:space="0" w:color="auto"/>
            <w:bottom w:val="none" w:sz="0" w:space="0" w:color="auto"/>
            <w:right w:val="none" w:sz="0" w:space="0" w:color="auto"/>
          </w:divBdr>
        </w:div>
        <w:div w:id="1702852112">
          <w:marLeft w:val="1800"/>
          <w:marRight w:val="0"/>
          <w:marTop w:val="100"/>
          <w:marBottom w:val="0"/>
          <w:divBdr>
            <w:top w:val="none" w:sz="0" w:space="0" w:color="auto"/>
            <w:left w:val="none" w:sz="0" w:space="0" w:color="auto"/>
            <w:bottom w:val="none" w:sz="0" w:space="0" w:color="auto"/>
            <w:right w:val="none" w:sz="0" w:space="0" w:color="auto"/>
          </w:divBdr>
        </w:div>
        <w:div w:id="964964626">
          <w:marLeft w:val="1800"/>
          <w:marRight w:val="0"/>
          <w:marTop w:val="100"/>
          <w:marBottom w:val="0"/>
          <w:divBdr>
            <w:top w:val="none" w:sz="0" w:space="0" w:color="auto"/>
            <w:left w:val="none" w:sz="0" w:space="0" w:color="auto"/>
            <w:bottom w:val="none" w:sz="0" w:space="0" w:color="auto"/>
            <w:right w:val="none" w:sz="0" w:space="0" w:color="auto"/>
          </w:divBdr>
        </w:div>
      </w:divsChild>
    </w:div>
    <w:div w:id="110369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hsp@tdhca.state.tx.us" TargetMode="External"/><Relationship Id="rId3" Type="http://schemas.openxmlformats.org/officeDocument/2006/relationships/settings" Target="settings.xml"/><Relationship Id="rId7" Type="http://schemas.openxmlformats.org/officeDocument/2006/relationships/hyperlink" Target="mailto:esg@tdhca.state.tx.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3208</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TDHCA</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 Adams</dc:creator>
  <cp:keywords/>
  <dc:description/>
  <cp:lastModifiedBy>Naomi Cantu</cp:lastModifiedBy>
  <cp:revision>4</cp:revision>
  <dcterms:created xsi:type="dcterms:W3CDTF">2020-07-08T13:57:00Z</dcterms:created>
  <dcterms:modified xsi:type="dcterms:W3CDTF">2020-07-08T14:16:00Z</dcterms:modified>
</cp:coreProperties>
</file>